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4CD2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60" w:afterLines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eastAsia" w:ascii="华文中宋" w:hAnsi="华文中宋" w:eastAsia="华文中宋" w:cs="华文中宋"/>
          <w:b w:val="0"/>
          <w:sz w:val="44"/>
          <w:szCs w:val="44"/>
        </w:rPr>
      </w:pPr>
      <w:bookmarkStart w:id="0" w:name="_GoBack"/>
      <w:bookmarkEnd w:id="0"/>
    </w:p>
    <w:p w14:paraId="6527401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60" w:afterLines="0" w:afterAutospacing="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sz w:val="44"/>
          <w:szCs w:val="44"/>
        </w:rPr>
        <w:t>广东现代医院管理研究所</w:t>
      </w:r>
    </w:p>
    <w:p w14:paraId="2B12892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60" w:afterLines="0" w:afterAutospacing="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sz w:val="44"/>
          <w:szCs w:val="44"/>
          <w:lang w:val="en-US" w:eastAsia="zh-CN"/>
        </w:rPr>
        <w:t>2026-2027年度医工协同创新</w:t>
      </w:r>
    </w:p>
    <w:p w14:paraId="51988C6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60" w:afterLines="0" w:afterAutospacing="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sz w:val="44"/>
          <w:szCs w:val="44"/>
        </w:rPr>
        <w:t>专项</w:t>
      </w:r>
      <w:r>
        <w:rPr>
          <w:rFonts w:hint="eastAsia" w:ascii="华文中宋" w:hAnsi="华文中宋" w:eastAsia="华文中宋" w:cs="华文中宋"/>
          <w:b w:val="0"/>
          <w:sz w:val="44"/>
          <w:szCs w:val="44"/>
          <w:lang w:val="en-US" w:eastAsia="zh-CN"/>
        </w:rPr>
        <w:t>科研项目课题</w:t>
      </w:r>
      <w:r>
        <w:rPr>
          <w:rFonts w:hint="eastAsia" w:ascii="华文中宋" w:hAnsi="华文中宋" w:eastAsia="华文中宋" w:cs="华文中宋"/>
          <w:b w:val="0"/>
          <w:sz w:val="44"/>
          <w:szCs w:val="44"/>
        </w:rPr>
        <w:t>申报指南</w:t>
      </w:r>
    </w:p>
    <w:p w14:paraId="34258D6F">
      <w:pPr>
        <w:spacing w:line="360" w:lineRule="auto"/>
        <w:rPr>
          <w:sz w:val="30"/>
          <w:szCs w:val="30"/>
        </w:rPr>
      </w:pPr>
    </w:p>
    <w:p w14:paraId="5F802B8A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研究方向</w:t>
      </w:r>
    </w:p>
    <w:p w14:paraId="2E1363AC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医工融合与科技成果转化协同机制研究</w:t>
      </w:r>
    </w:p>
    <w:p w14:paraId="167FCAC1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核心研究内容：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本方向聚焦公立医院科技成果转化“最后一公里”难题，整合临床需求端（医院）、技术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货架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端（高校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/科研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院所）、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研发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量产端（企业）三方资源，构建医企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联合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创新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转化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“铁三角”模式与医工融合创新生态。重点研究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内容包括：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协同转化的组织架构与运行机制、知识产权共享与收益分配制度、概念验证平台建设、临床需求精准挖掘与筛选流程、医工复合型人才培养体系、创新生态运行效果评价体系等。结合《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中华人民共和国促进科技成果转化法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》及广东省相关政策，提出符合公立医院实际、可落地的创新转化范式与生态建设路径。</w:t>
      </w:r>
    </w:p>
    <w:p w14:paraId="2EEC34DB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预期成果要求：</w:t>
      </w:r>
      <w:r>
        <w:rPr>
          <w:rFonts w:hint="eastAsia" w:ascii="仿宋_GB2312" w:hAnsi="仿宋_GB2312" w:eastAsia="仿宋_GB2312" w:cs="仿宋_GB2312"/>
          <w:sz w:val="30"/>
          <w:szCs w:val="30"/>
        </w:rPr>
        <w:t>研究需形成至少一份《课题结题报告》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总结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课题项目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在医工融合与成果转化方面的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创新成果</w:t>
      </w:r>
      <w:r>
        <w:rPr>
          <w:rFonts w:hint="eastAsia" w:ascii="仿宋_GB2312" w:hAnsi="仿宋_GB2312" w:eastAsia="仿宋_GB2312" w:cs="仿宋_GB2312"/>
          <w:sz w:val="30"/>
          <w:szCs w:val="30"/>
        </w:rPr>
        <w:t>。研究成果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30"/>
          <w:szCs w:val="30"/>
        </w:rPr>
        <w:t>包括在医学或医院管理类期刊上发表至少一篇学术论文，并形成1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通过协同模式</w:t>
      </w:r>
      <w:r>
        <w:rPr>
          <w:rFonts w:hint="eastAsia" w:ascii="仿宋_GB2312" w:hAnsi="仿宋_GB2312" w:eastAsia="仿宋_GB2312" w:cs="仿宋_GB2312"/>
          <w:sz w:val="30"/>
          <w:szCs w:val="30"/>
        </w:rPr>
        <w:t>成功转化的典型案例。</w:t>
      </w:r>
    </w:p>
    <w:p w14:paraId="42D9F610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left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数字化背景下的医院管理流程重塑</w:t>
      </w:r>
    </w:p>
    <w:p w14:paraId="037D74D6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核心研究内容：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本方向聚焦数字化技术（如大数据、物联网、人工智能、机器人流程自动化等）在医院管理流程优化与再造中的应用，旨在解决传统管理模式下效率低、协同差、数据孤岛等突出问题。重点研究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内容包括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：关键管理流程（如门诊、住院、手术、药品、耗材、审批等）的数字化建模与瓶颈分析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基于信息系统的流程自动化与智能化再造方案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跨部门、跨系统的数据互通与业务协同机制，构建统一流程中台；流程重塑的效果评价体系（效率、成本、满意度、差错率等指标）及持续改进机制。研究需结合医院实际场景，提出可落地、可推广的数字化流程重塑方案，并形成标准化操作规范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。</w:t>
      </w:r>
    </w:p>
    <w:p w14:paraId="15C969E2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预期成果要求：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研究需形成至少一份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课题结题报告》，总结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课题在数字化背景下的医院管理流程重塑方面的创新成果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研究成果建议包括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在医学或医院管理类期刊上发表至少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篇学术论文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提交至少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份数字化流程优化方案或制度修订建议；形成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2～3个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流程重塑的典型案例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。</w:t>
      </w:r>
    </w:p>
    <w:p w14:paraId="17B35E46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left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新时期医院管理体系创新研究</w:t>
      </w:r>
    </w:p>
    <w:p w14:paraId="35D0B18D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核心研究内容：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本方向聚焦公立医院高质量发展背景下，以业财融合、数据驱动、患者价值为导向的现代医院管理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体系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创新。重点研究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内容包括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：基于“国考”指标的运营管理优化、业财融合的精细化运营模式、数据驱动的管理决策支持系统、患者体验改善与医疗质量提升的协同机制等。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研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究需结合广东省及国内公立医院实际，提出具有前瞻性、系统性和可操作性的管理创新方案，助力医院提质增效。</w:t>
      </w:r>
    </w:p>
    <w:p w14:paraId="5A63034C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预期成果要求：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研究需形成至少一份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课题结题报告》，总结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课题项目在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</w:rPr>
        <w:t>新时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期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</w:rPr>
        <w:t>医院管理体系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研究中的创新成果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研究成果建议包括在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医学或医院管理类期刊上发表至少一篇学术论文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</w:rPr>
        <w:t>份医院管理创新工作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指南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</w:rPr>
        <w:t>或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管理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</w:rPr>
        <w:t>制度优化方案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。</w:t>
      </w:r>
    </w:p>
    <w:p w14:paraId="42227C39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left"/>
        <w:rPr>
          <w:rFonts w:hint="default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基于人工智能算法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的医疗新技术研究</w:t>
      </w:r>
    </w:p>
    <w:p w14:paraId="5F213E30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核心研究内容：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本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</w:rPr>
        <w:t>方向聚焦人工智能算法在医疗新技术研发中的创新应用，鼓励围绕疾病筛查、辅助诊断、治疗规划、预后预测、康复评估等临床环节，开发具有自主知识产权的新技术、新工具或新方法。重点研究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内容包括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</w:rPr>
        <w:t>：面向医学影像、生理信号、电子病历、基因组学等数据的深度学习/机器学习模型构建与验证；融合多模态数据的智能辅助诊疗算法，如病灶检测、分型诊断、疗效预测等；轻量化、可解释性人工智能算法在边缘设备或床旁场景中的部署与优化；算法的临床适用性、安全性及卫生经济学评价；基于真实世界数据的人工智能新技术临床应用路径与规范。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研究需明确算法设计、训练数据、性能指标及与现有方法的比较优势，最终形成具备临床转化潜力的医疗新技术。</w:t>
      </w:r>
    </w:p>
    <w:p w14:paraId="2B3E6BF3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宋体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预期成果要求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：研究需形成至少一份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课题结题报告》，总结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课题项目在人工智能算法应用于医疗新技术领域的创新成果。研究成果建议包括在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医学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信息技术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或医院管理类期刊上发表至少一篇学术论文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开发一套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完整的具体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疾病诊疗相关算法或辅助诊断模型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</w:rPr>
        <w:t>提供算法性能评估报告及临床验证结果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。</w:t>
      </w:r>
    </w:p>
    <w:p w14:paraId="6F6485E4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临床专科技术创新应用研究</w:t>
      </w:r>
    </w:p>
    <w:p w14:paraId="0784C101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核心研究内容：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本方向鼓励围绕临床各专科诊疗中的实际痛点与瓶颈，开展技术创新、器械改良、新术式或新疗法的临床应用与转化研究。研究内容可涵盖新型介入/操作技术、精准治疗靶点定位方法、微创或智能化诊疗设备、生物材料应用、康复工程创新等。重点探索技术原理的临床适配性、操作规范与安全性、与现有方案的比较优势，以及技术应用对患者预后、医疗效率或成本效益的影响。研究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须具备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明确的临床需求导向、创新性及可行性，最终形成可推广的临床应用方案或技术标准。</w:t>
      </w:r>
    </w:p>
    <w:p w14:paraId="53E240FC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预期成果要求：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研究需形成至少一份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课题结题报告》，总结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课题项目在临床专科技术创新应用方面的创新成果。研究成果建议包括在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医学或医院管理类期刊上发表至少一篇学术论文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提交技术操作规范或临床应用指南（草案）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形成典型病例分析报告（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例）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。</w:t>
      </w:r>
    </w:p>
    <w:p w14:paraId="16A55FA2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</w:p>
    <w:p w14:paraId="775C7648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0" w:firstLineChars="0"/>
        <w:jc w:val="left"/>
        <w:rPr>
          <w:rFonts w:hint="default"/>
          <w:sz w:val="30"/>
          <w:szCs w:val="30"/>
          <w:lang w:val="en-US"/>
        </w:rPr>
      </w:pPr>
      <w:r>
        <w:rPr>
          <w:rFonts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课题管理</w:t>
      </w:r>
    </w:p>
    <w:p w14:paraId="7344355E"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课题申报流程</w:t>
      </w:r>
    </w:p>
    <w:p w14:paraId="25BEC7D9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申请人需如实填写《广东现代医院管理研究所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研究课题申报书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》，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申报截止时间为2026年8月31日；本次申报工作采用协会易项目申报工具进行。请注册并登录协会易软件（详细操作见申报指南下方章节），按要求填写表格生成申报书（Word版）后，下载打印文件并签字盖章后，将加盖公章的扫描件（PDF版）上传至协会易软件项目申报指定位置。</w:t>
      </w:r>
    </w:p>
    <w:p w14:paraId="0172D0C1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如遇到问题可联系：</w:t>
      </w:r>
    </w:p>
    <w:p w14:paraId="72842A6F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广东现代医院管理研究所</w:t>
      </w:r>
    </w:p>
    <w:p w14:paraId="71FDCDF7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地址：广东省广州市越秀区沿江中路298号江湾新城A座12楼；</w:t>
      </w:r>
    </w:p>
    <w:p w14:paraId="4EE6E9CE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联系人：李老师</w:t>
      </w:r>
    </w:p>
    <w:p w14:paraId="29576646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联系电话：13802736812</w:t>
      </w:r>
    </w:p>
    <w:p w14:paraId="483C7B10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联系邮箱：gdxdyyglyjs@163.com</w:t>
      </w:r>
    </w:p>
    <w:p w14:paraId="1498E682"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 xml:space="preserve">遴选评议 </w:t>
      </w:r>
    </w:p>
    <w:p w14:paraId="6F482DA6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广东现代医院管理研究所将对所有申报材料进行形式审核，之后将组织专家对课题申报材料进行综合评审，择优遴选研究课题项目。</w:t>
      </w:r>
    </w:p>
    <w:p w14:paraId="7B02B519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通过专家评议的申请人和单位，研究所将进行课题立项，与申请人及单位签订项目协议书，按期开展研究工作。</w:t>
      </w:r>
    </w:p>
    <w:p w14:paraId="3194859C"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中期考核</w:t>
      </w:r>
    </w:p>
    <w:p w14:paraId="63AD0DB8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研究所将加强对项目过程管理，根据项目合同书约定方式实行中期考核。对多次沟通仍无法按时推进的研究项目，经研究所研究决定应取消的，将予以取消。</w:t>
      </w:r>
    </w:p>
    <w:p w14:paraId="19601360"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结题考核</w:t>
      </w:r>
    </w:p>
    <w:p w14:paraId="4669980C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研究课题完成后，根据项目合同书约定的结题方式，由申请人提交本课题的结题报告，研究所将组织专家对研究成果进行考核评议。</w:t>
      </w:r>
    </w:p>
    <w:p w14:paraId="4E72F509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</w:p>
    <w:p w14:paraId="6372792C">
      <w:pPr>
        <w:pStyle w:val="2"/>
        <w:numPr>
          <w:ilvl w:val="0"/>
          <w:numId w:val="1"/>
        </w:numPr>
        <w:snapToGrid/>
        <w:spacing w:before="200" w:beforeLines="0" w:beforeAutospacing="0" w:after="100" w:afterLines="0" w:afterAutospacing="0" w:line="36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sz w:val="30"/>
          <w:szCs w:val="30"/>
        </w:rPr>
      </w:pPr>
      <w:r>
        <w:rPr>
          <w:rFonts w:ascii="黑体" w:eastAsia="黑体"/>
          <w:b w:val="0"/>
          <w:sz w:val="30"/>
          <w:szCs w:val="30"/>
        </w:rPr>
        <w:t>经费支持</w:t>
      </w:r>
    </w:p>
    <w:p w14:paraId="46BA5735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本次立项单个项目课题经费支持额度为3万-5万元人民币；研究所可根据实际获评入选项目总数，适当调整各项目支持额度。</w:t>
      </w:r>
    </w:p>
    <w:p w14:paraId="4020A5B0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对于经专家组评议认为在理论与实践方面意义重大的、具有良好转化效益的研究课题，研究所将根据实际需要酌情增加研究经费。</w:t>
      </w:r>
    </w:p>
    <w:p w14:paraId="066DD18C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</w:p>
    <w:p w14:paraId="09A2D2B4">
      <w:pPr>
        <w:pStyle w:val="2"/>
        <w:numPr>
          <w:ilvl w:val="0"/>
          <w:numId w:val="1"/>
        </w:numPr>
        <w:snapToGrid/>
        <w:spacing w:before="200" w:beforeLines="0" w:beforeAutospacing="0" w:after="100" w:afterLines="0" w:afterAutospacing="0" w:line="360" w:lineRule="auto"/>
        <w:ind w:left="0" w:leftChars="0" w:right="0" w:rightChars="0" w:firstLine="0" w:firstLineChars="0"/>
        <w:jc w:val="left"/>
        <w:outlineLvl w:val="0"/>
        <w:rPr>
          <w:b w:val="0"/>
          <w:bCs w:val="0"/>
          <w:sz w:val="30"/>
          <w:szCs w:val="30"/>
        </w:rPr>
      </w:pPr>
      <w:r>
        <w:rPr>
          <w:rFonts w:ascii="黑体" w:eastAsia="黑体"/>
          <w:b w:val="0"/>
          <w:bCs w:val="0"/>
          <w:sz w:val="30"/>
          <w:szCs w:val="30"/>
        </w:rPr>
        <w:t>结题要求</w:t>
      </w:r>
    </w:p>
    <w:p w14:paraId="3274E877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结题时必须提交《课题结题报告》，结题报告材料应当符合申报书中预期成果要求；在此基础上如有其他形式成果材料，可一并予以提交；研究所将组织专家对项目成果进行结题评议。</w:t>
      </w:r>
    </w:p>
    <w:p w14:paraId="580A5E2E">
      <w:pPr>
        <w:snapToGrid/>
        <w:spacing w:beforeAutospacing="0" w:afterAutospacing="0" w:line="360" w:lineRule="auto"/>
        <w:ind w:left="0" w:leftChars="0" w:right="0" w:rightChars="0" w:firstLine="482" w:firstLineChars="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本项目课题原则上应当在项目协议书签订后2年之内完成。</w:t>
      </w:r>
    </w:p>
    <w:p w14:paraId="4DDC3825">
      <w:pPr>
        <w:snapToGrid/>
        <w:spacing w:beforeAutospacing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</w:p>
    <w:p w14:paraId="5556903D">
      <w:pPr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br w:type="page"/>
      </w:r>
    </w:p>
    <w:p w14:paraId="1B4A8A41">
      <w:pPr>
        <w:snapToGrid/>
        <w:spacing w:beforeAutospacing="0" w:afterAutospacing="0" w:line="360" w:lineRule="auto"/>
        <w:ind w:right="0" w:rightChars="0"/>
        <w:jc w:val="center"/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协会易项目申报工具操作指南</w:t>
      </w:r>
    </w:p>
    <w:p w14:paraId="4FA2C3D8">
      <w:pPr>
        <w:bidi w:val="0"/>
        <w:rPr>
          <w:rFonts w:hint="eastAsia"/>
          <w:lang w:val="en-US" w:eastAsia="zh-CN"/>
        </w:rPr>
      </w:pPr>
    </w:p>
    <w:p w14:paraId="15DA967B">
      <w:pPr>
        <w:bidi w:val="0"/>
        <w:rPr>
          <w:rFonts w:hint="eastAsia"/>
          <w:lang w:val="en-US" w:eastAsia="zh-CN"/>
        </w:rPr>
      </w:pPr>
    </w:p>
    <w:p w14:paraId="278E0A8A">
      <w:pPr>
        <w:numPr>
          <w:ilvl w:val="0"/>
          <w:numId w:val="4"/>
        </w:numPr>
        <w:bidi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微信登录</w:t>
      </w:r>
    </w:p>
    <w:p w14:paraId="574B47F8">
      <w:pPr>
        <w:bidi w:val="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进入提交系统页面，微信扫码登录，复制下面链接，要求用谷歌或IE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浏览器。</w:t>
      </w:r>
    </w:p>
    <w:p w14:paraId="7DB65F41">
      <w:pPr>
        <w:bidi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default" w:ascii="Arial" w:hAnsi="Arial" w:eastAsia="仿宋_GB2312" w:cs="Arial"/>
          <w:sz w:val="30"/>
          <w:szCs w:val="30"/>
        </w:rPr>
        <w:t>https://tencent.xiehuiyi.com/mms?shId=839&amp;siteId=1007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0" distR="0">
            <wp:extent cx="4679950" cy="2392680"/>
            <wp:effectExtent l="0" t="0" r="6350" b="7620"/>
            <wp:docPr id="5630849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8496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94A05">
      <w:pPr>
        <w:bidi w:val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C4368B7">
      <w:pPr>
        <w:numPr>
          <w:ilvl w:val="0"/>
          <w:numId w:val="4"/>
        </w:numPr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点击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“项目管理”，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找到“项目申报”，点击对应的“申报主题”申请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0595F28F">
      <w:pPr>
        <w:bidi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0" distR="0">
            <wp:extent cx="4679950" cy="2250440"/>
            <wp:effectExtent l="0" t="0" r="6350" b="16510"/>
            <wp:docPr id="3200738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07387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31FC8">
      <w:pPr>
        <w:bidi w:val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170EF4C">
      <w:pPr>
        <w:numPr>
          <w:ilvl w:val="0"/>
          <w:numId w:val="4"/>
        </w:numPr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按要求填写申请项目信息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注意中途保存草稿，下次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登录点“申请”，在</w:t>
      </w:r>
      <w:r>
        <w:rPr>
          <w:rFonts w:hint="eastAsia" w:ascii="仿宋_GB2312" w:hAnsi="仿宋_GB2312" w:eastAsia="仿宋_GB2312" w:cs="仿宋_GB2312"/>
          <w:sz w:val="30"/>
          <w:szCs w:val="30"/>
        </w:rPr>
        <w:t>草稿里面继续编辑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770F6505">
      <w:pPr>
        <w:bidi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0" distR="0">
            <wp:extent cx="4679950" cy="2580640"/>
            <wp:effectExtent l="0" t="0" r="6350" b="10160"/>
            <wp:docPr id="20605610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56100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57666">
      <w:pPr>
        <w:bidi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0" distR="0">
            <wp:extent cx="4679950" cy="1524635"/>
            <wp:effectExtent l="0" t="0" r="6350" b="18415"/>
            <wp:docPr id="19540872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08722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C89D7">
      <w:pPr>
        <w:bidi w:val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8AD687F">
      <w:pPr>
        <w:numPr>
          <w:ilvl w:val="0"/>
          <w:numId w:val="4"/>
        </w:numPr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填写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“课题设计论证”“</w:t>
      </w:r>
      <w:r>
        <w:rPr>
          <w:rFonts w:hint="eastAsia" w:ascii="仿宋_GB2312" w:hAnsi="仿宋_GB2312" w:eastAsia="仿宋_GB2312" w:cs="仿宋_GB2312"/>
          <w:sz w:val="30"/>
          <w:szCs w:val="30"/>
        </w:rPr>
        <w:t>研究基础和条件保障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，如</w:t>
      </w:r>
      <w:r>
        <w:rPr>
          <w:rFonts w:hint="eastAsia" w:ascii="仿宋_GB2312" w:hAnsi="仿宋_GB2312" w:eastAsia="仿宋_GB2312" w:cs="仿宋_GB2312"/>
          <w:sz w:val="30"/>
          <w:szCs w:val="30"/>
        </w:rPr>
        <w:t>需要插入图片，点击图片示例位置上传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并插入。</w:t>
      </w:r>
    </w:p>
    <w:p w14:paraId="51A10C08">
      <w:pPr>
        <w:bidi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0" distR="0">
            <wp:extent cx="4679950" cy="2458085"/>
            <wp:effectExtent l="0" t="0" r="6350" b="18415"/>
            <wp:docPr id="8421055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10556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76B07">
      <w:pPr>
        <w:bidi w:val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FEE9F7B">
      <w:pPr>
        <w:numPr>
          <w:ilvl w:val="0"/>
          <w:numId w:val="4"/>
        </w:numPr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填写完成后点击提交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如有填写不规范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，系统</w:t>
      </w:r>
      <w:r>
        <w:rPr>
          <w:rFonts w:hint="eastAsia" w:ascii="仿宋_GB2312" w:hAnsi="仿宋_GB2312" w:eastAsia="仿宋_GB2312" w:cs="仿宋_GB2312"/>
          <w:sz w:val="30"/>
          <w:szCs w:val="30"/>
        </w:rPr>
        <w:t>会提示原因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按要求修改即可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5F94DD40">
      <w:pPr>
        <w:bidi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0" distR="0">
            <wp:extent cx="4679950" cy="2556510"/>
            <wp:effectExtent l="0" t="0" r="6350" b="15240"/>
            <wp:docPr id="18442096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209660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5A73">
      <w:pPr>
        <w:bidi w:val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EB180D5">
      <w:pPr>
        <w:numPr>
          <w:ilvl w:val="0"/>
          <w:numId w:val="4"/>
        </w:numPr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提交完成后点击下载申请表，系统会按照填写内容自动生成申报书，检查生成无误后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盖章签字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上传PDF后点击提交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70BC7A66">
      <w:pPr>
        <w:bidi w:val="0"/>
        <w:rPr>
          <w:rFonts w:hint="default" w:ascii="仿宋_GB2312" w:hAnsi="仿宋_GB2312" w:eastAsia="仿宋_GB2312" w:cs="仿宋_GB2312"/>
          <w:b w:val="0"/>
          <w:bCs/>
          <w:szCs w:val="30"/>
          <w:lang w:val="en-US" w:eastAsia="zh-CN"/>
        </w:rPr>
      </w:pPr>
      <w:r>
        <w:drawing>
          <wp:inline distT="0" distB="0" distL="0" distR="0">
            <wp:extent cx="4679950" cy="2415540"/>
            <wp:effectExtent l="0" t="0" r="6350" b="3810"/>
            <wp:docPr id="19304002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40026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12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536E306-0856-462E-AF73-B3E93EF3992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B86BF97-D5B4-4692-8BC7-0B732C0645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E624B07-9FC4-4B78-997E-86F490AB63D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F92CCDC-EA67-4098-8F66-F1240CA22753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DF4992B2-BF02-4914-BD22-A65EC0CB3D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4462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482E7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8482E7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9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46BDC4"/>
    <w:multiLevelType w:val="singleLevel"/>
    <w:tmpl w:val="9E46BDC4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B544D9A3"/>
    <w:multiLevelType w:val="singleLevel"/>
    <w:tmpl w:val="B544D9A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91D5887"/>
    <w:multiLevelType w:val="singleLevel"/>
    <w:tmpl w:val="091D588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26FDC726"/>
    <w:multiLevelType w:val="singleLevel"/>
    <w:tmpl w:val="26FDC726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0"/>
        <w:szCs w:val="3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6A2"/>
    <w:rsid w:val="00DC43DA"/>
    <w:rsid w:val="022877B9"/>
    <w:rsid w:val="035E2B6B"/>
    <w:rsid w:val="04AB1DE0"/>
    <w:rsid w:val="05793C8D"/>
    <w:rsid w:val="05D76C05"/>
    <w:rsid w:val="098C3A69"/>
    <w:rsid w:val="09EA6F07"/>
    <w:rsid w:val="0A6E5D8A"/>
    <w:rsid w:val="0B3F3D12"/>
    <w:rsid w:val="0BF55A78"/>
    <w:rsid w:val="0BFC0B72"/>
    <w:rsid w:val="0C432893"/>
    <w:rsid w:val="0E5246BE"/>
    <w:rsid w:val="0FEC2631"/>
    <w:rsid w:val="136E710F"/>
    <w:rsid w:val="144C6C7C"/>
    <w:rsid w:val="16C32C88"/>
    <w:rsid w:val="1ADA7DE4"/>
    <w:rsid w:val="1E161E6D"/>
    <w:rsid w:val="22F8223D"/>
    <w:rsid w:val="23FE7D27"/>
    <w:rsid w:val="2B5B5A5F"/>
    <w:rsid w:val="2C6E02F5"/>
    <w:rsid w:val="33D84D90"/>
    <w:rsid w:val="34C06933"/>
    <w:rsid w:val="37020799"/>
    <w:rsid w:val="3C9F7384"/>
    <w:rsid w:val="3D467162"/>
    <w:rsid w:val="3D766728"/>
    <w:rsid w:val="3DBB19E2"/>
    <w:rsid w:val="4090252B"/>
    <w:rsid w:val="409F0752"/>
    <w:rsid w:val="46DC584E"/>
    <w:rsid w:val="47DE1152"/>
    <w:rsid w:val="48BD07F8"/>
    <w:rsid w:val="48DA1EB4"/>
    <w:rsid w:val="4B3233AA"/>
    <w:rsid w:val="50354221"/>
    <w:rsid w:val="525F7333"/>
    <w:rsid w:val="5E7303EE"/>
    <w:rsid w:val="5E7E5003"/>
    <w:rsid w:val="6032789B"/>
    <w:rsid w:val="623068E8"/>
    <w:rsid w:val="63B956FE"/>
    <w:rsid w:val="640E4DDD"/>
    <w:rsid w:val="646E3CD1"/>
    <w:rsid w:val="657D3545"/>
    <w:rsid w:val="6985167E"/>
    <w:rsid w:val="6BC35902"/>
    <w:rsid w:val="7E5E3262"/>
    <w:rsid w:val="7EE1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018d8d94-dbb0-47e4-a7f0-6464042e76a0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2EEC34DB</paraID>
      <start>84</start>
      <end>85</end>
      <status>modified</status>
      <modifiedWord>—</modifiedWord>
      <trackRevisions>false</trackRevisions>
    </reviewItem>
    <reviewItem>
      <errorID>b7d9d680-484e-456a-a4ee-cf0e431a6063</errorID>
      <errorWord>2-3个</errorWord>
      <group>L1_Punc</group>
      <groupName>标点问题</groupName>
      <ability>L2_Punc_CN</ability>
      <abilityName>标点符号问题</abilityName>
      <candidateList>
        <item>2～3个</item>
      </candidateList>
      <explain/>
      <paraID>15C969E2</paraID>
      <start>109</start>
      <end>113</end>
      <status>modified</status>
      <modifiedWord>2～3个</modifiedWord>
      <trackRevisions>false</trackRevisions>
    </reviewItem>
    <reviewItem>
      <errorID>899210f0-f2fa-453b-996b-e4a1c436c49d</errorID>
      <errorWord>应</errorWord>
      <group>L1_Word</group>
      <groupName>字词问题</groupName>
      <ability>L2_Typo</ability>
      <abilityName>字词错误</abilityName>
      <candidateList>
        <item>需</item>
      </candidateList>
      <explain/>
      <paraID>63AD0DB8</paraID>
      <start>58</start>
      <end>59</end>
      <status>ignored</status>
      <modifiedWord/>
      <trackRevisions>false</trackRevisions>
    </reviewItem>
    <reviewItem>
      <errorID>1c003fe3-bdc4-4d2a-96e1-3be9c644b99c</errorID>
      <errorWord>课题项目经费单个项目课题经费支持额度为3万-5万元人民币</errorWord>
      <group>L1_Other</group>
      <groupName>其他问题</groupName>
      <ability>L2_Consistency</ability>
      <abilityName>一致性检查</abilityName>
      <candidateList>
        <item>单个项目课题经费支持额度为3万-5万元人民币</item>
      </candidateList>
      <explain>数字一致性错误，前文表述的单个课题经费重复出现了两次“项目课题”，冗余表述导致数字指代重复不一致，建议修正为简洁统一的表述</explain>
      <paraID>46BA5735</paraID>
      <start>4</start>
      <end>26</end>
      <status>modified</status>
      <modifiedWord>单个项目课题经费支持额度为3万-5万元人民币</modifiedWord>
      <trackRevisions>false</trackRevisions>
    </reviewItem>
    <reviewItem>
      <errorID>06eee381-3aed-4f0d-9d04-f93c1b239901</errorID>
      <errorWord>项目管理、</errorWord>
      <group>L1_Punc</group>
      <groupName>标点问题</groupName>
      <ability>L2_Punc_CN</ability>
      <abilityName>标点符号问题</abilityName>
      <candidateList>
        <item>“项目管理”，</item>
      </candidateList>
      <explain/>
      <paraID>4C4368B7</paraID>
      <start>2</start>
      <end>9</end>
      <status>modified</status>
      <modifiedWord>“项目管理”，</modifiedWord>
      <trackRevisions>false</trackRevisions>
    </reviewItem>
    <reviewItem>
      <errorID>25146c27-0fd1-41b6-8d12-26794d250aee</errorID>
      <errorWord>项目申报、</errorWord>
      <group>L1_Punc</group>
      <groupName>标点问题</groupName>
      <ability>L2_Punc_CN</ability>
      <abilityName>标点符号问题</abilityName>
      <candidateList>
        <item>“项目申报”，</item>
      </candidateList>
      <explain/>
      <paraID>4C4368B7</paraID>
      <start>11</start>
      <end>18</end>
      <status>modified</status>
      <modifiedWord>“项目申报”，</modifiedWord>
      <trackRevisions>false</trackRevisions>
    </reviewItem>
    <reviewItem>
      <errorID>71785c5f-d3ea-49e5-98e5-4024a43d2ed6</errorID>
      <errorWord> </errorWord>
      <group>L1_Punc</group>
      <groupName>标点问题</groupName>
      <ability>L2_Punc_CN</ability>
      <abilityName>标点符号问题</abilityName>
      <candidateList>
        <item>。</item>
      </candidateList>
      <explain/>
      <paraID>7170EF4C</paraID>
      <start>11</start>
      <end>12</end>
      <status>modified</status>
      <modifiedWord>。</modifiedWord>
      <trackRevisions>false</trackRevisions>
    </reviewItem>
    <reviewItem>
      <errorID>c976b3cb-53d4-4d11-873a-74a695bf095c</errorID>
      <errorWord>申请</errorWord>
      <group>L1_Punc</group>
      <groupName>标点问题</groupName>
      <ability>L2_Punc_CN</ability>
      <abilityName>标点符号问题</abilityName>
      <candidateList>
        <item>“申请”</item>
      </candidateList>
      <explain/>
      <paraID>7170EF4C</paraID>
      <start>26</start>
      <end>30</end>
      <status>modified</status>
      <modifiedWord>“申请”</modifiedWord>
      <trackRevisions>false</trackRevisions>
    </reviewItem>
    <reviewItem>
      <errorID>28344d1a-4227-4dfd-b543-4bd03253b798</errorID>
      <errorWord>课题设计论证、</errorWord>
      <group>L1_Punc</group>
      <groupName>标点问题</groupName>
      <ability>L2_Punc_CN</ability>
      <abilityName>标点符号问题</abilityName>
      <candidateList>
        <item>“课题设计论证”“</item>
      </candidateList>
      <explain/>
      <paraID>28AD687F</paraID>
      <start>2</start>
      <end>11</end>
      <status>modified</status>
      <modifiedWord>“课题设计论证”“</modifiedWord>
      <trackRevisions>false</trackRevisions>
    </reviewItem>
    <reviewItem>
      <errorID>7fbe235d-c59b-435d-b2d5-c189d80426ff</errorID>
      <errorWord>插入</errorWord>
      <group>L1_Word</group>
      <groupName>字词问题</groupName>
      <ability>L2_Typo</ability>
      <abilityName>字词错误</abilityName>
      <candidateList>
        <item>并插入</item>
      </candidateList>
      <explain/>
      <paraID>28AD687F</paraID>
      <start>39</start>
      <end>42</end>
      <status>modified</status>
      <modifiedWord>并插入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54d382-8e82-47d2-8283-d20077800d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2854</Words>
  <Characters>2958</Characters>
  <Lines>0</Lines>
  <Paragraphs>0</Paragraphs>
  <TotalTime>38</TotalTime>
  <ScaleCrop>false</ScaleCrop>
  <LinksUpToDate>false</LinksUpToDate>
  <CharactersWithSpaces>2960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2026-03-30T12:06:00Z</dcterms:created>
  <dc:creator>Administrator</dc:creator>
  <cp:lastModifiedBy>霖 lin.</cp:lastModifiedBy>
  <cp:lastPrinted>2026-07-03T06:53:00Z</cp:lastPrinted>
  <dcterms:modified xsi:type="dcterms:W3CDTF">2026-07-03T07:43:15Z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eyJoZGlkIjoiN2I2MGYyYmRkYWU3NjliYWMyNDVhOTE3OTQzNjQzYjQiLCJ1c2VySWQiOiIxMTM1MDI4MTM0In0=</vt:lpwstr>
  </property>
  <property fmtid="{D5CDD505-2E9C-101B-9397-08002B2CF9AE}" pid="4" name="ICV">
    <vt:lpwstr>0F206D6197A748859DB0A010C533ED18_13</vt:lpwstr>
  </property>
</Properties>
</file>