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B9805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2C9F669A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3C657E4E">
      <w:pPr>
        <w:jc w:val="center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广东现代医院管理研究所2025-2026年度</w:t>
      </w:r>
      <w:r>
        <w:rPr>
          <w:rFonts w:hint="eastAsia" w:ascii="华文中宋" w:hAnsi="华文中宋" w:eastAsia="华文中宋" w:cs="华文中宋"/>
          <w:sz w:val="44"/>
          <w:szCs w:val="44"/>
          <w:u w:val="none"/>
          <w:lang w:val="en-US" w:eastAsia="zh-CN"/>
        </w:rPr>
        <w:t>专项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44"/>
          <w:szCs w:val="44"/>
          <w:highlight w:val="none"/>
          <w:lang w:val="en-US" w:eastAsia="zh-CN"/>
        </w:rPr>
        <w:t>研究课题申报指南</w:t>
      </w:r>
    </w:p>
    <w:p w14:paraId="7A47EE46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</w:p>
    <w:p w14:paraId="46F2192C">
      <w:pPr>
        <w:numPr>
          <w:ilvl w:val="0"/>
          <w:numId w:val="1"/>
        </w:num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研究方向</w:t>
      </w:r>
      <w:bookmarkStart w:id="0" w:name="_GoBack"/>
      <w:bookmarkEnd w:id="0"/>
    </w:p>
    <w:p w14:paraId="56B6DEBB">
      <w:pPr>
        <w:numPr>
          <w:ilvl w:val="0"/>
          <w:numId w:val="2"/>
        </w:numPr>
        <w:ind w:left="0" w:leftChars="0" w:firstLine="42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宏观政策与医院改革</w:t>
      </w:r>
    </w:p>
    <w:p w14:paraId="02195D48">
      <w:pPr>
        <w:numPr>
          <w:ilvl w:val="0"/>
          <w:numId w:val="0"/>
        </w:numPr>
        <w:ind w:firstLine="56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核心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研究内容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本方向要求深入分析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国家最新医改政策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在医疗机构层面的实施路径与效果评价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及其他与本方向相关内容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。重点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关注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公立医院高质量发展评价指标体系、分级诊疗制度下的医院功能定位调整、医保支付方式改革对医院运营的影响机制等议题。研究应基于广东省内不同地区、不同级别医院的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实证比较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，提出符合区域特色的政策落地模式。</w:t>
      </w:r>
    </w:p>
    <w:p w14:paraId="65343036">
      <w:pPr>
        <w:numPr>
          <w:ilvl w:val="0"/>
          <w:numId w:val="0"/>
        </w:numPr>
        <w:ind w:firstLine="560"/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预期成果要求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研究需形成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至少一份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可操作的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医院改革实施方案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或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政策优化建议报告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，研究过程中应建立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政策效应监测指标体系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，为政府部门提供决策参考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研究成果应包括在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医学或医院管理类CN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期刊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发表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至少一篇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学术论文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。</w:t>
      </w:r>
    </w:p>
    <w:p w14:paraId="72CFB2E7">
      <w:pPr>
        <w:numPr>
          <w:ilvl w:val="0"/>
          <w:numId w:val="2"/>
        </w:numPr>
        <w:ind w:left="0" w:leftChars="0" w:firstLine="42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运营成本控制管理</w:t>
      </w:r>
    </w:p>
    <w:p w14:paraId="17AEB5E2"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核心</w:t>
      </w: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研究内容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聚焦DRG/DIP支付改革背景下医院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精细化成本管控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模式创新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及其他与本方向相关内容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。重点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关注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医疗项目成本标准化测算、高值耗材全生命周期管理、后勤服务社会化效益评估、医疗设备共享使用机制等。研究需运用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管理会计工具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数据分析技术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，建立科学的成本效益评估模型。</w:t>
      </w:r>
    </w:p>
    <w:p w14:paraId="670A2760"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预期成果要求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研究需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形成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至少一份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具有推广价值的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医院成本控制操作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指南（报告）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开发配套的成本分析工具或信息系统模块。研究成果应在2家以上医院试点应用，并提交应用效果评估报告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。</w:t>
      </w:r>
    </w:p>
    <w:p w14:paraId="01411D9C">
      <w:pPr>
        <w:numPr>
          <w:ilvl w:val="0"/>
          <w:numId w:val="2"/>
        </w:numPr>
        <w:ind w:left="0" w:leftChars="0" w:firstLine="420" w:firstLineChars="0"/>
        <w:rPr>
          <w:rFonts w:hint="eastAsia" w:ascii="黑体" w:hAnsi="黑体" w:eastAsia="黑体" w:cs="黑体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医疗质量与安全管理</w:t>
      </w:r>
    </w:p>
    <w:p w14:paraId="4BE635A4"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核心研究内容：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探索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数字化转型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背景下的医疗质量提升路径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及其他与本方向相关内容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。重点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关注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人工智能辅助质控系统建设、基于大数据的医疗安全预警机制、日间手术质量标准化管理、多院区同质化质控体系构建等。研究需融合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循证医学理念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质量管理工具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，建立科学的质量评价维度。</w:t>
      </w:r>
    </w:p>
    <w:p w14:paraId="555DF74E"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预期成果要求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研究需形成至少一份有关医疗质量管理工具开发或优化的报告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（如电子质控平台、移动端不良事件上报系统等），形成标准化质量管理流程并在合作医院实施验证。研究成果应包括在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医学或医学管理类CN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期刊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发表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至少一篇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学术论文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。</w:t>
      </w:r>
    </w:p>
    <w:p w14:paraId="68DDC5EA">
      <w:pPr>
        <w:numPr>
          <w:ilvl w:val="0"/>
          <w:numId w:val="2"/>
        </w:numPr>
        <w:ind w:left="0" w:leftChars="0" w:firstLine="420" w:firstLineChars="0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人力资源管理</w:t>
      </w:r>
    </w:p>
    <w:p w14:paraId="4AE7F7F0"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核心研究内容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针对医疗人才流动与绩效激励难题，研究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医疗卫生人才发展创新机制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及其他与本方向相关内容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。重点关注研究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复合型医学人才培养模式、基于岗位价值的绩效分配体系、医护职业倦怠干预方案、专科护士职业发展路径等。研究需结合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组织行为学理论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人力资源分析技术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，提出符合医疗行业特点的人才管理策略。</w:t>
      </w:r>
    </w:p>
    <w:p w14:paraId="0C659CC7"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预期成果要求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研究需形成至少一份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具有实用价值的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医院人力资源管理制度范本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或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岗位创新设计方案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报告）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，开发配套的培训课程体系或评估工具。研究成果应在合作医院进行试点，并提交试点效果分析报告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。</w:t>
      </w:r>
    </w:p>
    <w:p w14:paraId="5D776D10">
      <w:pPr>
        <w:numPr>
          <w:ilvl w:val="0"/>
          <w:numId w:val="2"/>
        </w:numPr>
        <w:ind w:left="0" w:leftChars="0" w:firstLine="420" w:firstLineChars="0"/>
        <w:rPr>
          <w:rFonts w:hint="eastAsia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行风建设与廉政风险防控</w:t>
      </w:r>
    </w:p>
    <w:p w14:paraId="7D4C213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602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核心研究内容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聚焦医药领域腐败问题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专项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整治背景下的廉洁医院建设路径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及其他与本方向相关内容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。重点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关注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医疗机构重点岗位轮岗机制、供应商全流程监管模式、医务人员利益冲突防范体系、患者权益保护机制创新等。研究需结合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廉政风险防控理论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案例分析法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，识别高风险环节并设计防控措施。</w:t>
      </w:r>
    </w:p>
    <w:p w14:paraId="1B578662">
      <w:pPr>
        <w:numPr>
          <w:ilvl w:val="0"/>
          <w:numId w:val="0"/>
        </w:numPr>
        <w:ind w:firstLine="602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预期成果要求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研究需形成至少一份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医院廉政风险防控操作指南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（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报告）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，开发廉洁从业培训课程或警示教育素材库。研究成果应转化为具体的管理制度并在试点医院实施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。</w:t>
      </w:r>
    </w:p>
    <w:p w14:paraId="49D4F206">
      <w:pPr>
        <w:numPr>
          <w:ilvl w:val="0"/>
          <w:numId w:val="2"/>
        </w:numPr>
        <w:ind w:left="0" w:leftChars="0" w:firstLine="420" w:firstLineChars="0"/>
        <w:rPr>
          <w:rFonts w:hint="eastAsia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大湾区跨境医疗协作机制研究</w:t>
      </w:r>
    </w:p>
    <w:p w14:paraId="6B17FAB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60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核心研究内容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探索粤港澳三地医疗卫生服务规则衔接与管理创新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及其他与本方向相关内容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。重点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关注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跨境医疗质控标准互认机制、港澳医师内地执业配套政策、区域性重大传染病联防联控体系、跨境医保结算模式创新等。研究需采用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国际比较研究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SWOT分析法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，提出符合大湾区特点的协作路径。</w:t>
      </w:r>
    </w:p>
    <w:p w14:paraId="70979A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602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预期成果要求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研究需形成至少一份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大湾区跨境医疗协作方案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及政策建议专报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val="en-US" w:eastAsia="zh-CN"/>
        </w:rPr>
        <w:t>报告）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</w:rPr>
        <w:t>，建立跨境医疗协作案例库或信息共享平台框架。研究成果应获得至少一个港澳合作单位的书面采纳证明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30"/>
          <w:szCs w:val="30"/>
          <w:highlight w:val="none"/>
          <w:shd w:val="clear" w:fill="FFFFFF"/>
          <w:lang w:eastAsia="zh-CN"/>
        </w:rPr>
        <w:t>。</w:t>
      </w:r>
    </w:p>
    <w:p w14:paraId="43FD4F0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</w:p>
    <w:p w14:paraId="5B6F9118">
      <w:pPr>
        <w:numPr>
          <w:ilvl w:val="0"/>
          <w:numId w:val="0"/>
        </w:num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课题管理</w:t>
      </w:r>
    </w:p>
    <w:p w14:paraId="7344355E">
      <w:pPr>
        <w:numPr>
          <w:ilvl w:val="0"/>
          <w:numId w:val="3"/>
        </w:numPr>
        <w:ind w:left="0" w:leftChars="0" w:firstLine="42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课题申报</w:t>
      </w:r>
    </w:p>
    <w:p w14:paraId="0172D0C1">
      <w:pPr>
        <w:numPr>
          <w:ilvl w:val="0"/>
          <w:numId w:val="0"/>
        </w:numPr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申请人需如实填写《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广东现代医院管理研究所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</w:rPr>
        <w:t>研究课题申报书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eastAsia="zh-CN"/>
        </w:rPr>
        <w:t>》，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申报截止时间为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u w:val="none"/>
          <w:lang w:val="en-US" w:eastAsia="zh-CN"/>
        </w:rPr>
        <w:t>2025年10月31日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；请将申报书（Word版）及加盖公章的扫描件（PDF版）发送到指定邮箱：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gdxdyyglyjs@163.com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，邮件名称为：课题方向（见申报指南）+课题名称+申报单位全称+申报人姓名。将填写后申报书打印稿寄送四份至：</w:t>
      </w:r>
    </w:p>
    <w:p w14:paraId="72842A6F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收件单位：广东现代医院管理研究所</w:t>
      </w:r>
    </w:p>
    <w:p w14:paraId="71FDCDF7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地址：广东省广州市越秀区沿江中路298号江湾新城A座12楼；</w:t>
      </w:r>
    </w:p>
    <w:p w14:paraId="4EE6E9CE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联系人：李老师</w:t>
      </w:r>
    </w:p>
    <w:p w14:paraId="29576646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  <w:lang w:val="en-US" w:eastAsia="zh-CN"/>
        </w:rPr>
        <w:t>联系电话：13802736812</w:t>
      </w:r>
    </w:p>
    <w:p w14:paraId="1498E682">
      <w:pPr>
        <w:numPr>
          <w:ilvl w:val="0"/>
          <w:numId w:val="3"/>
        </w:numPr>
        <w:ind w:left="0" w:leftChars="0" w:firstLine="42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遴选评议</w:t>
      </w:r>
    </w:p>
    <w:p w14:paraId="6F482DA6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广东现代医院管理研究所收到申报书后，将组织</w:t>
      </w:r>
      <w:r>
        <w:rPr>
          <w:rFonts w:hint="eastAsia" w:ascii="仿宋_GB2312" w:hAnsi="仿宋_GB2312" w:eastAsia="仿宋_GB2312" w:cs="仿宋_GB2312"/>
          <w:bCs/>
          <w:sz w:val="30"/>
          <w:szCs w:val="30"/>
          <w:highlight w:val="none"/>
          <w:lang w:val="en-US" w:eastAsia="zh-CN"/>
        </w:rPr>
        <w:t>专家对课题申报书进行综合评审，择优遴选研究课题。</w:t>
      </w:r>
    </w:p>
    <w:p w14:paraId="7B02B519"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</w:rPr>
        <w:t>通过专家评议的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申请人和单位，研究所将进行课题立项，与申请人或单位签订项目合同书，开展研究工作。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立项课题项目将给20000元至50000元人民币经费支持。对于经专家组评议认为在理论与实践意义重大高水平的研究课题，将根据需要增加研究经费。</w:t>
      </w:r>
    </w:p>
    <w:p w14:paraId="3194859C">
      <w:pPr>
        <w:numPr>
          <w:ilvl w:val="0"/>
          <w:numId w:val="3"/>
        </w:numPr>
        <w:ind w:left="0" w:leftChars="0" w:firstLine="42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中期考核</w:t>
      </w:r>
    </w:p>
    <w:p w14:paraId="63AD0DB8"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研究所将加强对项目过程管理，经费分两期拨付，根据项目合同书约定方式实行中期考核。对于未提交中期研究报告者，将停拨二期经费。对无法按时推进的研究项目，经研究所研究决定应取消的，将予以取消。</w:t>
      </w:r>
    </w:p>
    <w:p w14:paraId="19601360">
      <w:pPr>
        <w:numPr>
          <w:ilvl w:val="0"/>
          <w:numId w:val="3"/>
        </w:numPr>
        <w:ind w:left="0" w:leftChars="0" w:firstLine="420" w:firstLineChars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结题考核</w:t>
      </w:r>
    </w:p>
    <w:p w14:paraId="5DE83F8D">
      <w:pPr>
        <w:numPr>
          <w:ilvl w:val="0"/>
          <w:numId w:val="0"/>
        </w:numPr>
        <w:ind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研究课题完成后，根据项目合同书约定的结题方式，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由申请人提交本课题的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val="en-US" w:eastAsia="zh-CN"/>
        </w:rPr>
        <w:t>结题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</w:rPr>
        <w:t>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highlight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highlight w:val="none"/>
          <w:lang w:val="en-US" w:eastAsia="zh-CN"/>
        </w:rPr>
        <w:t>研究所将组织专家对研究成果进行考核评议。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8F936"/>
    <w:multiLevelType w:val="singleLevel"/>
    <w:tmpl w:val="C8F8F93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黑体" w:hAnsi="黑体" w:eastAsia="黑体" w:cs="黑体"/>
        <w:sz w:val="30"/>
        <w:szCs w:val="30"/>
      </w:rPr>
    </w:lvl>
  </w:abstractNum>
  <w:abstractNum w:abstractNumId="1">
    <w:nsid w:val="EED5DBB2"/>
    <w:multiLevelType w:val="singleLevel"/>
    <w:tmpl w:val="EED5DB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1D5887"/>
    <w:multiLevelType w:val="singleLevel"/>
    <w:tmpl w:val="091D588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3445"/>
    <w:rsid w:val="0BB73761"/>
    <w:rsid w:val="0CC81CE9"/>
    <w:rsid w:val="10D037AE"/>
    <w:rsid w:val="11231E79"/>
    <w:rsid w:val="129A4ECF"/>
    <w:rsid w:val="13855EF2"/>
    <w:rsid w:val="148D6069"/>
    <w:rsid w:val="152C72BC"/>
    <w:rsid w:val="15F15AC1"/>
    <w:rsid w:val="18911A12"/>
    <w:rsid w:val="18B960CA"/>
    <w:rsid w:val="1A597D97"/>
    <w:rsid w:val="1ACC4407"/>
    <w:rsid w:val="1B245FF1"/>
    <w:rsid w:val="1B2949AB"/>
    <w:rsid w:val="1DA00335"/>
    <w:rsid w:val="23D700A4"/>
    <w:rsid w:val="242239E6"/>
    <w:rsid w:val="268B1A7D"/>
    <w:rsid w:val="28E012F6"/>
    <w:rsid w:val="2F407445"/>
    <w:rsid w:val="308C66BA"/>
    <w:rsid w:val="31CD0C60"/>
    <w:rsid w:val="37F0752F"/>
    <w:rsid w:val="41596145"/>
    <w:rsid w:val="41BB295C"/>
    <w:rsid w:val="4BAD77B9"/>
    <w:rsid w:val="4CD82614"/>
    <w:rsid w:val="4DAA5A56"/>
    <w:rsid w:val="4DDE00FE"/>
    <w:rsid w:val="500A342C"/>
    <w:rsid w:val="54E8158B"/>
    <w:rsid w:val="56B1059C"/>
    <w:rsid w:val="5AB644E5"/>
    <w:rsid w:val="5CF96101"/>
    <w:rsid w:val="622A1906"/>
    <w:rsid w:val="6509792F"/>
    <w:rsid w:val="6B20743A"/>
    <w:rsid w:val="6BBA3B00"/>
    <w:rsid w:val="6DE210EC"/>
    <w:rsid w:val="72EE5E3E"/>
    <w:rsid w:val="762F450D"/>
    <w:rsid w:val="78B84E4E"/>
    <w:rsid w:val="79F20909"/>
    <w:rsid w:val="7B7B66DC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1974</Words>
  <Characters>2042</Characters>
  <Lines>0</Lines>
  <Paragraphs>0</Paragraphs>
  <TotalTime>0</TotalTime>
  <ScaleCrop>false</ScaleCrop>
  <LinksUpToDate>false</LinksUpToDate>
  <CharactersWithSpaces>2042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2025-08-11T01:31:00Z</dcterms:created>
  <dc:creator>44348</dc:creator>
  <cp:lastModifiedBy>霖 lin.</cp:lastModifiedBy>
  <cp:lastPrinted>2025-08-20T09:22:00Z</cp:lastPrinted>
  <dcterms:modified xsi:type="dcterms:W3CDTF">2025-08-28T02:35:14Z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eyJoZGlkIjoiODNkYjEzZjYxYTM2MWI3Mzg1NDU5MzI3OGMxODM1NGYiLCJ1c2VySWQiOiIxMTM1MDI4MTM0In0=</vt:lpwstr>
  </property>
  <property fmtid="{D5CDD505-2E9C-101B-9397-08002B2CF9AE}" pid="4" name="ICV">
    <vt:lpwstr>7F7679A0C1D64A6793269907393E3240_12</vt:lpwstr>
  </property>
</Properties>
</file>